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17C" w14:textId="77777777" w:rsidR="003532BE" w:rsidRDefault="003532BE" w:rsidP="17590CDC">
      <w:pPr>
        <w:rPr>
          <w:rFonts w:eastAsia="Times New Roman" w:cs="Calibri"/>
          <w:b/>
          <w:bCs/>
          <w:sz w:val="44"/>
          <w:szCs w:val="44"/>
        </w:rPr>
      </w:pPr>
    </w:p>
    <w:p w14:paraId="122E56A2" w14:textId="08C33DA3" w:rsidR="0A2311ED" w:rsidRPr="001B1B61" w:rsidRDefault="1605FD07" w:rsidP="17590CDC">
      <w:pPr>
        <w:rPr>
          <w:rFonts w:eastAsia="Times New Roman" w:cs="Calibri"/>
          <w:b/>
          <w:bCs/>
          <w:sz w:val="44"/>
          <w:szCs w:val="44"/>
        </w:rPr>
      </w:pPr>
      <w:r w:rsidRPr="001B1B61">
        <w:rPr>
          <w:rFonts w:eastAsia="Times New Roman" w:cs="Calibri"/>
          <w:b/>
          <w:bCs/>
          <w:sz w:val="44"/>
          <w:szCs w:val="44"/>
        </w:rPr>
        <w:t>Anti-Money Laundering (AML) Policy</w:t>
      </w:r>
    </w:p>
    <w:p w14:paraId="671B20EF" w14:textId="2BAD3315" w:rsidR="0F3A2008" w:rsidRPr="007A3B50" w:rsidRDefault="0F3A2008" w:rsidP="0A2311ED">
      <w:pPr>
        <w:pStyle w:val="Heading4"/>
        <w:spacing w:before="319" w:after="319"/>
        <w:rPr>
          <w:rFonts w:ascii="Arial" w:eastAsia="Times New Roman" w:hAnsi="Arial" w:cs="Arial"/>
          <w:b/>
          <w:bCs/>
          <w:i w:val="0"/>
          <w:iCs w:val="0"/>
          <w:color w:val="auto"/>
          <w:sz w:val="28"/>
          <w:szCs w:val="28"/>
        </w:rPr>
      </w:pPr>
      <w:r w:rsidRPr="007A3B50">
        <w:rPr>
          <w:rFonts w:ascii="Arial" w:eastAsia="Times New Roman" w:hAnsi="Arial" w:cs="Arial"/>
          <w:b/>
          <w:bCs/>
          <w:i w:val="0"/>
          <w:iCs w:val="0"/>
          <w:color w:val="auto"/>
          <w:sz w:val="28"/>
          <w:szCs w:val="28"/>
        </w:rPr>
        <w:t>1. Purpose</w:t>
      </w:r>
    </w:p>
    <w:p w14:paraId="05D12BE1" w14:textId="37B6D847" w:rsidR="0F3A2008" w:rsidRPr="00BF5CBF" w:rsidRDefault="0F3A2008" w:rsidP="00B57990">
      <w:pPr>
        <w:spacing w:before="240" w:after="240" w:line="360" w:lineRule="auto"/>
        <w:rPr>
          <w:rFonts w:ascii="Arial" w:eastAsia="Times New Roman" w:hAnsi="Arial" w:cs="Arial"/>
          <w:sz w:val="22"/>
          <w:szCs w:val="22"/>
        </w:rPr>
      </w:pPr>
      <w:r w:rsidRPr="00BF5CBF">
        <w:rPr>
          <w:rFonts w:ascii="Arial" w:eastAsia="Times New Roman" w:hAnsi="Arial" w:cs="Arial"/>
          <w:sz w:val="22"/>
          <w:szCs w:val="22"/>
        </w:rPr>
        <w:t>The purpose of this Anti-Money Laundering (AML) Policy is to establish guidelines to prevent, detect, and report any activity related to money laundering or the financing of terrorism in compliance with applicable laws and regulations.</w:t>
      </w:r>
    </w:p>
    <w:p w14:paraId="3E4DCA81" w14:textId="03DF85D6" w:rsidR="0F3A2008" w:rsidRPr="003017E6" w:rsidRDefault="0F3A2008" w:rsidP="0A2311ED">
      <w:pPr>
        <w:pStyle w:val="Heading4"/>
        <w:spacing w:before="319" w:after="319"/>
        <w:rPr>
          <w:rFonts w:ascii="Arial" w:eastAsia="Times New Roman" w:hAnsi="Arial" w:cs="Arial"/>
          <w:b/>
          <w:bCs/>
          <w:i w:val="0"/>
          <w:iCs w:val="0"/>
          <w:color w:val="auto"/>
          <w:sz w:val="28"/>
          <w:szCs w:val="28"/>
        </w:rPr>
      </w:pPr>
      <w:r w:rsidRPr="003017E6">
        <w:rPr>
          <w:rFonts w:ascii="Arial" w:eastAsia="Times New Roman" w:hAnsi="Arial" w:cs="Arial"/>
          <w:b/>
          <w:bCs/>
          <w:i w:val="0"/>
          <w:iCs w:val="0"/>
          <w:color w:val="auto"/>
          <w:sz w:val="28"/>
          <w:szCs w:val="28"/>
        </w:rPr>
        <w:t>2. Scope</w:t>
      </w:r>
    </w:p>
    <w:p w14:paraId="31EF5F33" w14:textId="22731A34" w:rsidR="0F3A2008" w:rsidRPr="0097323C" w:rsidRDefault="0F3A2008" w:rsidP="00492A36">
      <w:pPr>
        <w:spacing w:before="240" w:after="240" w:line="360" w:lineRule="auto"/>
        <w:rPr>
          <w:rFonts w:ascii="Arial" w:eastAsia="Times New Roman" w:hAnsi="Arial" w:cs="Arial"/>
          <w:sz w:val="22"/>
          <w:szCs w:val="22"/>
        </w:rPr>
      </w:pPr>
      <w:r w:rsidRPr="0097323C">
        <w:rPr>
          <w:rFonts w:ascii="Arial" w:eastAsia="Times New Roman" w:hAnsi="Arial" w:cs="Arial"/>
          <w:sz w:val="22"/>
          <w:szCs w:val="22"/>
        </w:rPr>
        <w:t xml:space="preserve">This policy applies to all employees, officers, and agents of </w:t>
      </w:r>
      <w:r w:rsidRPr="0097323C">
        <w:rPr>
          <w:rFonts w:ascii="Arial" w:eastAsia="Times New Roman" w:hAnsi="Arial" w:cs="Arial"/>
          <w:b/>
          <w:bCs/>
          <w:sz w:val="22"/>
          <w:szCs w:val="22"/>
        </w:rPr>
        <w:t>[Organization Name]</w:t>
      </w:r>
      <w:r w:rsidRPr="0097323C">
        <w:rPr>
          <w:rFonts w:ascii="Arial" w:eastAsia="Times New Roman" w:hAnsi="Arial" w:cs="Arial"/>
          <w:sz w:val="22"/>
          <w:szCs w:val="22"/>
        </w:rPr>
        <w:t>, including all branches and subsidiaries, both domestic and international.</w:t>
      </w:r>
    </w:p>
    <w:p w14:paraId="14A5165E" w14:textId="75C8E6E3" w:rsidR="0F3A2008" w:rsidRPr="00A94280" w:rsidRDefault="0F3A2008" w:rsidP="0A2311ED">
      <w:pPr>
        <w:pStyle w:val="Heading4"/>
        <w:spacing w:before="319" w:after="319"/>
        <w:rPr>
          <w:rFonts w:ascii="Arial" w:eastAsia="Times New Roman" w:hAnsi="Arial" w:cs="Arial"/>
          <w:b/>
          <w:bCs/>
          <w:i w:val="0"/>
          <w:iCs w:val="0"/>
          <w:color w:val="auto"/>
          <w:sz w:val="28"/>
          <w:szCs w:val="28"/>
        </w:rPr>
      </w:pPr>
      <w:r w:rsidRPr="00A94280">
        <w:rPr>
          <w:rFonts w:ascii="Arial" w:eastAsia="Times New Roman" w:hAnsi="Arial" w:cs="Arial"/>
          <w:b/>
          <w:bCs/>
          <w:i w:val="0"/>
          <w:iCs w:val="0"/>
          <w:color w:val="auto"/>
          <w:sz w:val="28"/>
          <w:szCs w:val="28"/>
        </w:rPr>
        <w:t>3. Definitions</w:t>
      </w:r>
    </w:p>
    <w:p w14:paraId="7DA8BC6C" w14:textId="23C26F2A" w:rsidR="0F3A2008" w:rsidRPr="00EF556A" w:rsidRDefault="0F3A2008" w:rsidP="00430FFB">
      <w:pPr>
        <w:pStyle w:val="ListParagraph"/>
        <w:numPr>
          <w:ilvl w:val="0"/>
          <w:numId w:val="1"/>
        </w:numPr>
        <w:spacing w:after="0" w:line="360" w:lineRule="auto"/>
        <w:rPr>
          <w:rFonts w:ascii="Arial" w:eastAsia="Times New Roman" w:hAnsi="Arial" w:cs="Arial"/>
          <w:sz w:val="22"/>
          <w:szCs w:val="22"/>
        </w:rPr>
      </w:pPr>
      <w:r w:rsidRPr="00EF556A">
        <w:rPr>
          <w:rFonts w:ascii="Arial" w:eastAsia="Times New Roman" w:hAnsi="Arial" w:cs="Arial"/>
          <w:b/>
          <w:bCs/>
          <w:sz w:val="22"/>
          <w:szCs w:val="22"/>
        </w:rPr>
        <w:t>Money Laundering:</w:t>
      </w:r>
      <w:r w:rsidRPr="00EF556A">
        <w:rPr>
          <w:rFonts w:ascii="Arial" w:eastAsia="Times New Roman" w:hAnsi="Arial" w:cs="Arial"/>
          <w:sz w:val="22"/>
          <w:szCs w:val="22"/>
        </w:rPr>
        <w:t xml:space="preserve"> The process of concealing the origins of illegally obtained money, typically by passing it through a complex sequence of banking transfers or commercial transactions.</w:t>
      </w:r>
    </w:p>
    <w:p w14:paraId="5F7485C9" w14:textId="58034FB3" w:rsidR="0F3A2008" w:rsidRPr="00EF556A" w:rsidRDefault="0F3A2008" w:rsidP="00430FFB">
      <w:pPr>
        <w:pStyle w:val="ListParagraph"/>
        <w:numPr>
          <w:ilvl w:val="0"/>
          <w:numId w:val="1"/>
        </w:numPr>
        <w:spacing w:after="0" w:line="360" w:lineRule="auto"/>
        <w:rPr>
          <w:rFonts w:ascii="Arial" w:eastAsia="Times New Roman" w:hAnsi="Arial" w:cs="Arial"/>
          <w:sz w:val="22"/>
          <w:szCs w:val="22"/>
        </w:rPr>
      </w:pPr>
      <w:r w:rsidRPr="00EF556A">
        <w:rPr>
          <w:rFonts w:ascii="Arial" w:eastAsia="Times New Roman" w:hAnsi="Arial" w:cs="Arial"/>
          <w:b/>
          <w:bCs/>
          <w:sz w:val="22"/>
          <w:szCs w:val="22"/>
        </w:rPr>
        <w:t>Know Your Customer (KYC):</w:t>
      </w:r>
      <w:r w:rsidRPr="00EF556A">
        <w:rPr>
          <w:rFonts w:ascii="Arial" w:eastAsia="Times New Roman" w:hAnsi="Arial" w:cs="Arial"/>
          <w:sz w:val="22"/>
          <w:szCs w:val="22"/>
        </w:rPr>
        <w:t xml:space="preserve"> The process of verifying the identity of clients to prevent fraud, money laundering, and terrorist financing.</w:t>
      </w:r>
    </w:p>
    <w:p w14:paraId="2977CF7F" w14:textId="394E6B7D" w:rsidR="0F3A2008" w:rsidRPr="00EF556A" w:rsidRDefault="0F3A2008" w:rsidP="00430FFB">
      <w:pPr>
        <w:pStyle w:val="ListParagraph"/>
        <w:numPr>
          <w:ilvl w:val="0"/>
          <w:numId w:val="1"/>
        </w:numPr>
        <w:spacing w:after="0" w:line="360" w:lineRule="auto"/>
        <w:rPr>
          <w:rFonts w:ascii="Arial" w:eastAsia="Times New Roman" w:hAnsi="Arial" w:cs="Arial"/>
          <w:sz w:val="22"/>
          <w:szCs w:val="22"/>
        </w:rPr>
      </w:pPr>
      <w:r w:rsidRPr="00EF556A">
        <w:rPr>
          <w:rFonts w:ascii="Arial" w:eastAsia="Times New Roman" w:hAnsi="Arial" w:cs="Arial"/>
          <w:b/>
          <w:bCs/>
          <w:sz w:val="22"/>
          <w:szCs w:val="22"/>
        </w:rPr>
        <w:t>Suspicious Activity Report (SAR):</w:t>
      </w:r>
      <w:r w:rsidRPr="00EF556A">
        <w:rPr>
          <w:rFonts w:ascii="Arial" w:eastAsia="Times New Roman" w:hAnsi="Arial" w:cs="Arial"/>
          <w:sz w:val="22"/>
          <w:szCs w:val="22"/>
        </w:rPr>
        <w:t xml:space="preserve"> A report that financial institutions and other regulated entities must file with the relevant authorities when they suspect money laundering or fraud.</w:t>
      </w:r>
    </w:p>
    <w:p w14:paraId="657A113B" w14:textId="7D480EB5" w:rsidR="0F3A2008" w:rsidRPr="00A75A1A" w:rsidRDefault="0F3A2008" w:rsidP="0A2311ED">
      <w:pPr>
        <w:pStyle w:val="Heading4"/>
        <w:spacing w:before="319" w:after="319"/>
        <w:rPr>
          <w:rFonts w:ascii="Arial" w:eastAsia="Times New Roman" w:hAnsi="Arial" w:cs="Arial"/>
          <w:b/>
          <w:bCs/>
          <w:i w:val="0"/>
          <w:iCs w:val="0"/>
          <w:color w:val="auto"/>
          <w:sz w:val="28"/>
          <w:szCs w:val="28"/>
        </w:rPr>
      </w:pPr>
      <w:r w:rsidRPr="00A75A1A">
        <w:rPr>
          <w:rFonts w:ascii="Arial" w:eastAsia="Times New Roman" w:hAnsi="Arial" w:cs="Arial"/>
          <w:b/>
          <w:bCs/>
          <w:i w:val="0"/>
          <w:iCs w:val="0"/>
          <w:color w:val="auto"/>
          <w:sz w:val="28"/>
          <w:szCs w:val="28"/>
        </w:rPr>
        <w:t>4. Legal Framework</w:t>
      </w:r>
    </w:p>
    <w:p w14:paraId="2296BB4F" w14:textId="0B6E7095" w:rsidR="0F3A2008" w:rsidRPr="00234E5E" w:rsidRDefault="0F3A2008" w:rsidP="00C25BD1">
      <w:pPr>
        <w:spacing w:before="240" w:after="240" w:line="360" w:lineRule="auto"/>
        <w:rPr>
          <w:rFonts w:ascii="Arial" w:eastAsia="Times New Roman" w:hAnsi="Arial" w:cs="Arial"/>
          <w:sz w:val="22"/>
          <w:szCs w:val="22"/>
        </w:rPr>
      </w:pPr>
      <w:r w:rsidRPr="00234E5E">
        <w:rPr>
          <w:rFonts w:ascii="Arial" w:eastAsia="Times New Roman" w:hAnsi="Arial" w:cs="Arial"/>
          <w:b/>
          <w:bCs/>
          <w:sz w:val="22"/>
          <w:szCs w:val="22"/>
        </w:rPr>
        <w:t>[Organization Name]</w:t>
      </w:r>
      <w:r w:rsidRPr="00234E5E">
        <w:rPr>
          <w:rFonts w:ascii="Arial" w:eastAsia="Times New Roman" w:hAnsi="Arial" w:cs="Arial"/>
          <w:sz w:val="22"/>
          <w:szCs w:val="22"/>
        </w:rPr>
        <w:t xml:space="preserve"> is committed to complying with the following relevant legislation and regulations:</w:t>
      </w:r>
    </w:p>
    <w:p w14:paraId="241D46EA" w14:textId="7677D6B5" w:rsidR="0F3A2008" w:rsidRPr="00234E5E" w:rsidRDefault="0F3A2008" w:rsidP="00C25BD1">
      <w:pPr>
        <w:pStyle w:val="ListParagraph"/>
        <w:numPr>
          <w:ilvl w:val="0"/>
          <w:numId w:val="1"/>
        </w:numPr>
        <w:spacing w:after="0" w:line="360" w:lineRule="auto"/>
        <w:rPr>
          <w:rFonts w:ascii="Arial" w:eastAsia="Times New Roman" w:hAnsi="Arial" w:cs="Arial"/>
          <w:sz w:val="22"/>
          <w:szCs w:val="22"/>
        </w:rPr>
      </w:pPr>
      <w:r w:rsidRPr="00234E5E">
        <w:rPr>
          <w:rFonts w:ascii="Arial" w:eastAsia="Times New Roman" w:hAnsi="Arial" w:cs="Arial"/>
          <w:sz w:val="22"/>
          <w:szCs w:val="22"/>
        </w:rPr>
        <w:t>The USA PATRIOT Act</w:t>
      </w:r>
    </w:p>
    <w:p w14:paraId="2B51B646" w14:textId="240B97E1" w:rsidR="0F3A2008" w:rsidRPr="00234E5E" w:rsidRDefault="0F3A2008" w:rsidP="00C25BD1">
      <w:pPr>
        <w:pStyle w:val="ListParagraph"/>
        <w:numPr>
          <w:ilvl w:val="0"/>
          <w:numId w:val="1"/>
        </w:numPr>
        <w:spacing w:after="0" w:line="360" w:lineRule="auto"/>
        <w:rPr>
          <w:rFonts w:ascii="Arial" w:eastAsia="Times New Roman" w:hAnsi="Arial" w:cs="Arial"/>
          <w:sz w:val="22"/>
          <w:szCs w:val="22"/>
        </w:rPr>
      </w:pPr>
      <w:r w:rsidRPr="00234E5E">
        <w:rPr>
          <w:rFonts w:ascii="Arial" w:eastAsia="Times New Roman" w:hAnsi="Arial" w:cs="Arial"/>
          <w:sz w:val="22"/>
          <w:szCs w:val="22"/>
        </w:rPr>
        <w:t>The Bank Secrecy Act (BSA)</w:t>
      </w:r>
    </w:p>
    <w:p w14:paraId="5E87EE17" w14:textId="40273CAB" w:rsidR="0F3A2008" w:rsidRPr="00234E5E" w:rsidRDefault="0F3A2008" w:rsidP="00C25BD1">
      <w:pPr>
        <w:pStyle w:val="ListParagraph"/>
        <w:numPr>
          <w:ilvl w:val="0"/>
          <w:numId w:val="1"/>
        </w:numPr>
        <w:spacing w:after="0" w:line="360" w:lineRule="auto"/>
        <w:rPr>
          <w:rFonts w:ascii="Arial" w:eastAsia="Times New Roman" w:hAnsi="Arial" w:cs="Arial"/>
          <w:sz w:val="22"/>
          <w:szCs w:val="22"/>
        </w:rPr>
      </w:pPr>
      <w:r w:rsidRPr="00234E5E">
        <w:rPr>
          <w:rFonts w:ascii="Arial" w:eastAsia="Times New Roman" w:hAnsi="Arial" w:cs="Arial"/>
          <w:sz w:val="22"/>
          <w:szCs w:val="22"/>
        </w:rPr>
        <w:t>Financial Crimes Enforcement Network (FinCEN) regulations</w:t>
      </w:r>
    </w:p>
    <w:p w14:paraId="2F401A7A" w14:textId="52E81461" w:rsidR="003532BE" w:rsidRDefault="0F3A2008" w:rsidP="003532BE">
      <w:pPr>
        <w:pStyle w:val="ListParagraph"/>
        <w:numPr>
          <w:ilvl w:val="0"/>
          <w:numId w:val="1"/>
        </w:numPr>
        <w:spacing w:after="0" w:line="360" w:lineRule="auto"/>
        <w:rPr>
          <w:rFonts w:ascii="Arial" w:eastAsia="Times New Roman" w:hAnsi="Arial" w:cs="Arial"/>
          <w:b/>
          <w:bCs/>
          <w:sz w:val="22"/>
          <w:szCs w:val="22"/>
        </w:rPr>
      </w:pPr>
      <w:r w:rsidRPr="00234E5E">
        <w:rPr>
          <w:rFonts w:ascii="Arial" w:eastAsia="Times New Roman" w:hAnsi="Arial" w:cs="Arial"/>
          <w:b/>
          <w:bCs/>
          <w:sz w:val="22"/>
          <w:szCs w:val="22"/>
        </w:rPr>
        <w:t>[Insert relevant local regulations]</w:t>
      </w:r>
    </w:p>
    <w:p w14:paraId="624B5DEF" w14:textId="77777777" w:rsidR="003532BE" w:rsidRPr="003532BE" w:rsidRDefault="003532BE" w:rsidP="003532BE">
      <w:pPr>
        <w:pStyle w:val="ListParagraph"/>
        <w:spacing w:after="0" w:line="360" w:lineRule="auto"/>
        <w:rPr>
          <w:rFonts w:ascii="Arial" w:eastAsia="Times New Roman" w:hAnsi="Arial" w:cs="Arial"/>
          <w:b/>
          <w:bCs/>
          <w:sz w:val="22"/>
          <w:szCs w:val="22"/>
        </w:rPr>
      </w:pPr>
    </w:p>
    <w:p w14:paraId="4A111BB5" w14:textId="03E2CF87" w:rsidR="0F3A2008" w:rsidRPr="006468A8" w:rsidRDefault="0F3A2008" w:rsidP="0A2311ED">
      <w:pPr>
        <w:pStyle w:val="Heading4"/>
        <w:spacing w:before="319" w:after="319"/>
        <w:rPr>
          <w:rFonts w:ascii="Arial" w:eastAsia="Times New Roman" w:hAnsi="Arial" w:cs="Arial"/>
          <w:b/>
          <w:bCs/>
          <w:i w:val="0"/>
          <w:iCs w:val="0"/>
          <w:color w:val="auto"/>
          <w:sz w:val="28"/>
          <w:szCs w:val="28"/>
        </w:rPr>
      </w:pPr>
      <w:r w:rsidRPr="006468A8">
        <w:rPr>
          <w:rFonts w:ascii="Arial" w:eastAsia="Times New Roman" w:hAnsi="Arial" w:cs="Arial"/>
          <w:b/>
          <w:bCs/>
          <w:i w:val="0"/>
          <w:iCs w:val="0"/>
          <w:color w:val="auto"/>
          <w:sz w:val="28"/>
          <w:szCs w:val="28"/>
        </w:rPr>
        <w:t>5. AML Compliance Program</w:t>
      </w:r>
    </w:p>
    <w:p w14:paraId="5EAAF8D5" w14:textId="26EAD304" w:rsidR="0F3A2008" w:rsidRPr="002A5C9C" w:rsidRDefault="0F3A2008" w:rsidP="00430F88">
      <w:pPr>
        <w:spacing w:before="240" w:after="240" w:line="360" w:lineRule="auto"/>
        <w:rPr>
          <w:rFonts w:ascii="Arial" w:eastAsia="Times New Roman" w:hAnsi="Arial" w:cs="Arial"/>
          <w:sz w:val="22"/>
          <w:szCs w:val="22"/>
        </w:rPr>
      </w:pPr>
      <w:r w:rsidRPr="002A5C9C">
        <w:rPr>
          <w:rFonts w:ascii="Arial" w:eastAsia="Times New Roman" w:hAnsi="Arial" w:cs="Arial"/>
          <w:sz w:val="22"/>
          <w:szCs w:val="22"/>
        </w:rPr>
        <w:t>The AML Compliance Program consists of the following components:</w:t>
      </w:r>
    </w:p>
    <w:p w14:paraId="317A8A55" w14:textId="19618731" w:rsidR="0F3A2008" w:rsidRPr="007779A6" w:rsidRDefault="0F3A2008" w:rsidP="0A2311ED">
      <w:pPr>
        <w:pStyle w:val="Heading5"/>
        <w:spacing w:before="333" w:after="333"/>
        <w:rPr>
          <w:rFonts w:ascii="Arial" w:eastAsia="Times New Roman" w:hAnsi="Arial" w:cs="Arial"/>
          <w:b/>
          <w:bCs/>
          <w:color w:val="auto"/>
        </w:rPr>
      </w:pPr>
      <w:r w:rsidRPr="007779A6">
        <w:rPr>
          <w:rFonts w:ascii="Arial" w:eastAsia="Times New Roman" w:hAnsi="Arial" w:cs="Arial"/>
          <w:b/>
          <w:bCs/>
          <w:color w:val="auto"/>
        </w:rPr>
        <w:t>5.1. Risk Assessment</w:t>
      </w:r>
    </w:p>
    <w:p w14:paraId="4C3F65BA" w14:textId="7827E362" w:rsidR="0F3A2008" w:rsidRPr="00CE1631" w:rsidRDefault="0F3A2008" w:rsidP="00830F50">
      <w:pPr>
        <w:pStyle w:val="ListParagraph"/>
        <w:numPr>
          <w:ilvl w:val="0"/>
          <w:numId w:val="1"/>
        </w:numPr>
        <w:spacing w:after="0" w:line="360" w:lineRule="auto"/>
        <w:rPr>
          <w:rFonts w:ascii="Arial" w:eastAsia="Times New Roman" w:hAnsi="Arial" w:cs="Arial"/>
          <w:sz w:val="22"/>
          <w:szCs w:val="22"/>
        </w:rPr>
      </w:pPr>
      <w:r w:rsidRPr="00CE1631">
        <w:rPr>
          <w:rFonts w:ascii="Arial" w:eastAsia="Times New Roman" w:hAnsi="Arial" w:cs="Arial"/>
          <w:sz w:val="22"/>
          <w:szCs w:val="22"/>
        </w:rPr>
        <w:t>Conduct annual risk assessments to identify potential money laundering risks associated with the organization’s products, services, customers, and geographic locations.</w:t>
      </w:r>
    </w:p>
    <w:p w14:paraId="3209D36A" w14:textId="3F259376" w:rsidR="0F3A2008" w:rsidRPr="00CE1631" w:rsidRDefault="0F3A2008" w:rsidP="00830F50">
      <w:pPr>
        <w:pStyle w:val="ListParagraph"/>
        <w:numPr>
          <w:ilvl w:val="0"/>
          <w:numId w:val="1"/>
        </w:numPr>
        <w:spacing w:after="0" w:line="360" w:lineRule="auto"/>
        <w:rPr>
          <w:rFonts w:ascii="Arial" w:eastAsia="Times New Roman" w:hAnsi="Arial" w:cs="Arial"/>
          <w:sz w:val="22"/>
          <w:szCs w:val="22"/>
        </w:rPr>
      </w:pPr>
      <w:r w:rsidRPr="00CE1631">
        <w:rPr>
          <w:rFonts w:ascii="Arial" w:eastAsia="Times New Roman" w:hAnsi="Arial" w:cs="Arial"/>
          <w:sz w:val="22"/>
          <w:szCs w:val="22"/>
        </w:rPr>
        <w:t>Maintain documentation of risk assessment results and updates.</w:t>
      </w:r>
    </w:p>
    <w:p w14:paraId="72CC3222" w14:textId="316CA322" w:rsidR="0F3A2008" w:rsidRPr="00DF05B9" w:rsidRDefault="0F3A2008" w:rsidP="0A2311ED">
      <w:pPr>
        <w:pStyle w:val="Heading5"/>
        <w:spacing w:before="333" w:after="333"/>
        <w:rPr>
          <w:rFonts w:ascii="Arial" w:eastAsia="Times New Roman" w:hAnsi="Arial" w:cs="Arial"/>
          <w:b/>
          <w:bCs/>
          <w:color w:val="auto"/>
        </w:rPr>
      </w:pPr>
      <w:r w:rsidRPr="00DF05B9">
        <w:rPr>
          <w:rFonts w:ascii="Arial" w:eastAsia="Times New Roman" w:hAnsi="Arial" w:cs="Arial"/>
          <w:b/>
          <w:bCs/>
          <w:color w:val="auto"/>
        </w:rPr>
        <w:t>5.2. Customer Due Diligence (CDD)</w:t>
      </w:r>
    </w:p>
    <w:p w14:paraId="0C4877BE" w14:textId="0143C936" w:rsidR="0F3A2008" w:rsidRPr="006A1B8F" w:rsidRDefault="0F3A2008" w:rsidP="00EC1E2D">
      <w:pPr>
        <w:pStyle w:val="ListParagraph"/>
        <w:numPr>
          <w:ilvl w:val="0"/>
          <w:numId w:val="1"/>
        </w:numPr>
        <w:spacing w:after="0" w:line="360" w:lineRule="auto"/>
        <w:rPr>
          <w:rFonts w:ascii="Arial" w:eastAsia="Times New Roman" w:hAnsi="Arial" w:cs="Arial"/>
          <w:sz w:val="22"/>
          <w:szCs w:val="22"/>
        </w:rPr>
      </w:pPr>
      <w:r w:rsidRPr="006A1B8F">
        <w:rPr>
          <w:rFonts w:ascii="Arial" w:eastAsia="Times New Roman" w:hAnsi="Arial" w:cs="Arial"/>
          <w:sz w:val="22"/>
          <w:szCs w:val="22"/>
        </w:rPr>
        <w:t>Implement KYC procedures for customer identification and verification.</w:t>
      </w:r>
    </w:p>
    <w:p w14:paraId="6AA616F0" w14:textId="1BF2B0D6" w:rsidR="0F3A2008" w:rsidRPr="006A1B8F" w:rsidRDefault="0F3A2008" w:rsidP="00EC1E2D">
      <w:pPr>
        <w:pStyle w:val="ListParagraph"/>
        <w:numPr>
          <w:ilvl w:val="0"/>
          <w:numId w:val="1"/>
        </w:numPr>
        <w:spacing w:after="0" w:line="360" w:lineRule="auto"/>
        <w:rPr>
          <w:rFonts w:ascii="Arial" w:eastAsia="Times New Roman" w:hAnsi="Arial" w:cs="Arial"/>
          <w:sz w:val="22"/>
          <w:szCs w:val="22"/>
        </w:rPr>
      </w:pPr>
      <w:r w:rsidRPr="006A1B8F">
        <w:rPr>
          <w:rFonts w:ascii="Arial" w:eastAsia="Times New Roman" w:hAnsi="Arial" w:cs="Arial"/>
          <w:sz w:val="22"/>
          <w:szCs w:val="22"/>
        </w:rPr>
        <w:t>Collect and verify the following information from clients:</w:t>
      </w:r>
    </w:p>
    <w:p w14:paraId="6A25AB5F" w14:textId="5E8457F7" w:rsidR="0F3A2008" w:rsidRPr="006A1B8F" w:rsidRDefault="0F3A2008" w:rsidP="00EC1E2D">
      <w:pPr>
        <w:pStyle w:val="ListParagraph"/>
        <w:numPr>
          <w:ilvl w:val="1"/>
          <w:numId w:val="1"/>
        </w:numPr>
        <w:spacing w:after="0" w:line="360" w:lineRule="auto"/>
        <w:rPr>
          <w:rFonts w:ascii="Arial" w:eastAsia="Times New Roman" w:hAnsi="Arial" w:cs="Arial"/>
          <w:sz w:val="22"/>
          <w:szCs w:val="22"/>
        </w:rPr>
      </w:pPr>
      <w:r w:rsidRPr="006A1B8F">
        <w:rPr>
          <w:rFonts w:ascii="Arial" w:eastAsia="Times New Roman" w:hAnsi="Arial" w:cs="Arial"/>
          <w:sz w:val="22"/>
          <w:szCs w:val="22"/>
        </w:rPr>
        <w:t>Full name</w:t>
      </w:r>
    </w:p>
    <w:p w14:paraId="25690525" w14:textId="51132C0F" w:rsidR="0F3A2008" w:rsidRPr="006A1B8F" w:rsidRDefault="0F3A2008" w:rsidP="00EC1E2D">
      <w:pPr>
        <w:pStyle w:val="ListParagraph"/>
        <w:numPr>
          <w:ilvl w:val="1"/>
          <w:numId w:val="1"/>
        </w:numPr>
        <w:spacing w:after="0" w:line="360" w:lineRule="auto"/>
        <w:rPr>
          <w:rFonts w:ascii="Arial" w:eastAsia="Times New Roman" w:hAnsi="Arial" w:cs="Arial"/>
          <w:sz w:val="22"/>
          <w:szCs w:val="22"/>
        </w:rPr>
      </w:pPr>
      <w:r w:rsidRPr="006A1B8F">
        <w:rPr>
          <w:rFonts w:ascii="Arial" w:eastAsia="Times New Roman" w:hAnsi="Arial" w:cs="Arial"/>
          <w:sz w:val="22"/>
          <w:szCs w:val="22"/>
        </w:rPr>
        <w:t>Date of birth</w:t>
      </w:r>
    </w:p>
    <w:p w14:paraId="5280CB8B" w14:textId="5CF66060" w:rsidR="0F3A2008" w:rsidRPr="006A1B8F" w:rsidRDefault="0F3A2008" w:rsidP="00EC1E2D">
      <w:pPr>
        <w:pStyle w:val="ListParagraph"/>
        <w:numPr>
          <w:ilvl w:val="1"/>
          <w:numId w:val="1"/>
        </w:numPr>
        <w:spacing w:after="0" w:line="360" w:lineRule="auto"/>
        <w:rPr>
          <w:rFonts w:ascii="Arial" w:eastAsia="Times New Roman" w:hAnsi="Arial" w:cs="Arial"/>
          <w:sz w:val="22"/>
          <w:szCs w:val="22"/>
        </w:rPr>
      </w:pPr>
      <w:r w:rsidRPr="006A1B8F">
        <w:rPr>
          <w:rFonts w:ascii="Arial" w:eastAsia="Times New Roman" w:hAnsi="Arial" w:cs="Arial"/>
          <w:sz w:val="22"/>
          <w:szCs w:val="22"/>
        </w:rPr>
        <w:t>Address</w:t>
      </w:r>
    </w:p>
    <w:p w14:paraId="3DC828F2" w14:textId="4B489954" w:rsidR="0F3A2008" w:rsidRPr="006A1B8F" w:rsidRDefault="0F3A2008" w:rsidP="00EC1E2D">
      <w:pPr>
        <w:pStyle w:val="ListParagraph"/>
        <w:numPr>
          <w:ilvl w:val="1"/>
          <w:numId w:val="1"/>
        </w:numPr>
        <w:spacing w:after="0" w:line="360" w:lineRule="auto"/>
        <w:rPr>
          <w:rFonts w:ascii="Arial" w:eastAsia="Times New Roman" w:hAnsi="Arial" w:cs="Arial"/>
          <w:sz w:val="22"/>
          <w:szCs w:val="22"/>
        </w:rPr>
      </w:pPr>
      <w:r w:rsidRPr="006A1B8F">
        <w:rPr>
          <w:rFonts w:ascii="Arial" w:eastAsia="Times New Roman" w:hAnsi="Arial" w:cs="Arial"/>
          <w:sz w:val="22"/>
          <w:szCs w:val="22"/>
        </w:rPr>
        <w:t>Government-issued identification (e.g., passport, driver’s license)</w:t>
      </w:r>
    </w:p>
    <w:p w14:paraId="15E2B924" w14:textId="0A6F530D" w:rsidR="0F3A2008" w:rsidRPr="006A1B8F" w:rsidRDefault="0F3A2008" w:rsidP="00EC1E2D">
      <w:pPr>
        <w:pStyle w:val="ListParagraph"/>
        <w:numPr>
          <w:ilvl w:val="1"/>
          <w:numId w:val="1"/>
        </w:numPr>
        <w:spacing w:after="0" w:line="360" w:lineRule="auto"/>
        <w:rPr>
          <w:rFonts w:ascii="Arial" w:eastAsia="Times New Roman" w:hAnsi="Arial" w:cs="Arial"/>
          <w:sz w:val="22"/>
          <w:szCs w:val="22"/>
        </w:rPr>
      </w:pPr>
      <w:r w:rsidRPr="006A1B8F">
        <w:rPr>
          <w:rFonts w:ascii="Arial" w:eastAsia="Times New Roman" w:hAnsi="Arial" w:cs="Arial"/>
          <w:sz w:val="22"/>
          <w:szCs w:val="22"/>
        </w:rPr>
        <w:t>Tax identification number</w:t>
      </w:r>
    </w:p>
    <w:p w14:paraId="223C9F02" w14:textId="4068C22A" w:rsidR="0F3A2008" w:rsidRPr="006A1B8F" w:rsidRDefault="0F3A2008" w:rsidP="00EC1E2D">
      <w:pPr>
        <w:pStyle w:val="ListParagraph"/>
        <w:numPr>
          <w:ilvl w:val="0"/>
          <w:numId w:val="1"/>
        </w:numPr>
        <w:spacing w:after="0" w:line="360" w:lineRule="auto"/>
        <w:rPr>
          <w:rFonts w:ascii="Arial" w:eastAsia="Times New Roman" w:hAnsi="Arial" w:cs="Arial"/>
          <w:sz w:val="22"/>
          <w:szCs w:val="22"/>
        </w:rPr>
      </w:pPr>
      <w:r w:rsidRPr="006A1B8F">
        <w:rPr>
          <w:rFonts w:ascii="Arial" w:eastAsia="Times New Roman" w:hAnsi="Arial" w:cs="Arial"/>
          <w:sz w:val="22"/>
          <w:szCs w:val="22"/>
        </w:rPr>
        <w:t>Conduct Enhanced Due Diligence (EDD) for high-risk customers, including politically exposed persons (PEPs) and individuals from high-risk jurisdictions.</w:t>
      </w:r>
    </w:p>
    <w:p w14:paraId="2980666A" w14:textId="53B86FFA" w:rsidR="0F3A2008" w:rsidRPr="0020158A" w:rsidRDefault="0F3A2008" w:rsidP="0A2311ED">
      <w:pPr>
        <w:pStyle w:val="Heading5"/>
        <w:spacing w:before="333" w:after="333"/>
        <w:rPr>
          <w:rFonts w:ascii="Arial" w:eastAsia="Times New Roman" w:hAnsi="Arial" w:cs="Arial"/>
          <w:b/>
          <w:bCs/>
          <w:color w:val="auto"/>
        </w:rPr>
      </w:pPr>
      <w:r w:rsidRPr="0020158A">
        <w:rPr>
          <w:rFonts w:ascii="Arial" w:eastAsia="Times New Roman" w:hAnsi="Arial" w:cs="Arial"/>
          <w:b/>
          <w:bCs/>
          <w:color w:val="auto"/>
        </w:rPr>
        <w:t>5.3. Ongoing Monitoring</w:t>
      </w:r>
    </w:p>
    <w:p w14:paraId="3AF9884B" w14:textId="529F69EB" w:rsidR="0F3A2008" w:rsidRPr="005C4BEB" w:rsidRDefault="0F3A2008" w:rsidP="007E1258">
      <w:pPr>
        <w:pStyle w:val="ListParagraph"/>
        <w:numPr>
          <w:ilvl w:val="0"/>
          <w:numId w:val="1"/>
        </w:numPr>
        <w:spacing w:after="0" w:line="360" w:lineRule="auto"/>
        <w:rPr>
          <w:rFonts w:ascii="Arial" w:eastAsia="Times New Roman" w:hAnsi="Arial" w:cs="Arial"/>
          <w:sz w:val="22"/>
          <w:szCs w:val="22"/>
        </w:rPr>
      </w:pPr>
      <w:r w:rsidRPr="005C4BEB">
        <w:rPr>
          <w:rFonts w:ascii="Arial" w:eastAsia="Times New Roman" w:hAnsi="Arial" w:cs="Arial"/>
          <w:sz w:val="22"/>
          <w:szCs w:val="22"/>
        </w:rPr>
        <w:t xml:space="preserve">Establish systems to monitor transactions for unusual or suspicious </w:t>
      </w:r>
      <w:proofErr w:type="gramStart"/>
      <w:r w:rsidRPr="005C4BEB">
        <w:rPr>
          <w:rFonts w:ascii="Arial" w:eastAsia="Times New Roman" w:hAnsi="Arial" w:cs="Arial"/>
          <w:sz w:val="22"/>
          <w:szCs w:val="22"/>
        </w:rPr>
        <w:t>activity</w:t>
      </w:r>
      <w:proofErr w:type="gramEnd"/>
      <w:r w:rsidRPr="005C4BEB">
        <w:rPr>
          <w:rFonts w:ascii="Arial" w:eastAsia="Times New Roman" w:hAnsi="Arial" w:cs="Arial"/>
          <w:sz w:val="22"/>
          <w:szCs w:val="22"/>
        </w:rPr>
        <w:t>.</w:t>
      </w:r>
    </w:p>
    <w:p w14:paraId="42BC0EB7" w14:textId="6978F10B" w:rsidR="0F3A2008" w:rsidRPr="005C4BEB" w:rsidRDefault="0F3A2008" w:rsidP="007E1258">
      <w:pPr>
        <w:pStyle w:val="ListParagraph"/>
        <w:numPr>
          <w:ilvl w:val="0"/>
          <w:numId w:val="1"/>
        </w:numPr>
        <w:spacing w:after="0" w:line="360" w:lineRule="auto"/>
        <w:rPr>
          <w:rFonts w:ascii="Arial" w:eastAsia="Times New Roman" w:hAnsi="Arial" w:cs="Arial"/>
          <w:sz w:val="22"/>
          <w:szCs w:val="22"/>
        </w:rPr>
      </w:pPr>
      <w:r w:rsidRPr="005C4BEB">
        <w:rPr>
          <w:rFonts w:ascii="Arial" w:eastAsia="Times New Roman" w:hAnsi="Arial" w:cs="Arial"/>
          <w:sz w:val="22"/>
          <w:szCs w:val="22"/>
        </w:rPr>
        <w:t>Define parameters for monitoring, including:</w:t>
      </w:r>
    </w:p>
    <w:p w14:paraId="6D8C7896" w14:textId="42913110" w:rsidR="0F3A2008" w:rsidRPr="005C4BEB" w:rsidRDefault="0F3A2008" w:rsidP="007E1258">
      <w:pPr>
        <w:pStyle w:val="ListParagraph"/>
        <w:numPr>
          <w:ilvl w:val="1"/>
          <w:numId w:val="1"/>
        </w:numPr>
        <w:spacing w:after="0" w:line="360" w:lineRule="auto"/>
        <w:rPr>
          <w:rFonts w:ascii="Arial" w:eastAsia="Times New Roman" w:hAnsi="Arial" w:cs="Arial"/>
          <w:sz w:val="22"/>
          <w:szCs w:val="22"/>
        </w:rPr>
      </w:pPr>
      <w:r w:rsidRPr="005C4BEB">
        <w:rPr>
          <w:rFonts w:ascii="Arial" w:eastAsia="Times New Roman" w:hAnsi="Arial" w:cs="Arial"/>
          <w:sz w:val="22"/>
          <w:szCs w:val="22"/>
        </w:rPr>
        <w:t>Transaction size</w:t>
      </w:r>
    </w:p>
    <w:p w14:paraId="08475C8D" w14:textId="0A0B2847" w:rsidR="0F3A2008" w:rsidRPr="005C4BEB" w:rsidRDefault="0F3A2008" w:rsidP="007E1258">
      <w:pPr>
        <w:pStyle w:val="ListParagraph"/>
        <w:numPr>
          <w:ilvl w:val="1"/>
          <w:numId w:val="1"/>
        </w:numPr>
        <w:spacing w:after="0" w:line="360" w:lineRule="auto"/>
        <w:rPr>
          <w:rFonts w:ascii="Arial" w:eastAsia="Times New Roman" w:hAnsi="Arial" w:cs="Arial"/>
          <w:sz w:val="22"/>
          <w:szCs w:val="22"/>
        </w:rPr>
      </w:pPr>
      <w:r w:rsidRPr="005C4BEB">
        <w:rPr>
          <w:rFonts w:ascii="Arial" w:eastAsia="Times New Roman" w:hAnsi="Arial" w:cs="Arial"/>
          <w:sz w:val="22"/>
          <w:szCs w:val="22"/>
        </w:rPr>
        <w:t>Geographic location</w:t>
      </w:r>
    </w:p>
    <w:p w14:paraId="19013D0F" w14:textId="7FF749D8" w:rsidR="0F3A2008" w:rsidRPr="005C4BEB" w:rsidRDefault="0F3A2008" w:rsidP="007E1258">
      <w:pPr>
        <w:pStyle w:val="ListParagraph"/>
        <w:numPr>
          <w:ilvl w:val="1"/>
          <w:numId w:val="1"/>
        </w:numPr>
        <w:spacing w:after="0" w:line="360" w:lineRule="auto"/>
        <w:rPr>
          <w:rFonts w:ascii="Arial" w:eastAsia="Times New Roman" w:hAnsi="Arial" w:cs="Arial"/>
          <w:sz w:val="22"/>
          <w:szCs w:val="22"/>
        </w:rPr>
      </w:pPr>
      <w:r w:rsidRPr="005C4BEB">
        <w:rPr>
          <w:rFonts w:ascii="Arial" w:eastAsia="Times New Roman" w:hAnsi="Arial" w:cs="Arial"/>
          <w:sz w:val="22"/>
          <w:szCs w:val="22"/>
        </w:rPr>
        <w:t>Type of transaction</w:t>
      </w:r>
    </w:p>
    <w:p w14:paraId="653DBDC3" w14:textId="56AB9653" w:rsidR="0F3A2008" w:rsidRPr="005C4BEB" w:rsidRDefault="0F3A2008" w:rsidP="007E1258">
      <w:pPr>
        <w:pStyle w:val="ListParagraph"/>
        <w:numPr>
          <w:ilvl w:val="0"/>
          <w:numId w:val="1"/>
        </w:numPr>
        <w:spacing w:after="0" w:line="360" w:lineRule="auto"/>
        <w:rPr>
          <w:rFonts w:ascii="Arial" w:eastAsia="Times New Roman" w:hAnsi="Arial" w:cs="Arial"/>
          <w:sz w:val="22"/>
          <w:szCs w:val="22"/>
        </w:rPr>
      </w:pPr>
      <w:r w:rsidRPr="005C4BEB">
        <w:rPr>
          <w:rFonts w:ascii="Arial" w:eastAsia="Times New Roman" w:hAnsi="Arial" w:cs="Arial"/>
          <w:sz w:val="22"/>
          <w:szCs w:val="22"/>
        </w:rPr>
        <w:t>Implement automated systems to flag suspicious transactions for review.</w:t>
      </w:r>
    </w:p>
    <w:p w14:paraId="02F1F0E1" w14:textId="25A0720E" w:rsidR="0F3A2008" w:rsidRPr="003B7B6C" w:rsidRDefault="0F3A2008" w:rsidP="0A2311ED">
      <w:pPr>
        <w:pStyle w:val="Heading5"/>
        <w:spacing w:before="333" w:after="333"/>
        <w:rPr>
          <w:rFonts w:ascii="Arial" w:eastAsia="Times New Roman" w:hAnsi="Arial" w:cs="Arial"/>
          <w:b/>
          <w:bCs/>
          <w:color w:val="auto"/>
        </w:rPr>
      </w:pPr>
      <w:r w:rsidRPr="003B7B6C">
        <w:rPr>
          <w:rFonts w:ascii="Arial" w:eastAsia="Times New Roman" w:hAnsi="Arial" w:cs="Arial"/>
          <w:b/>
          <w:bCs/>
          <w:color w:val="auto"/>
        </w:rPr>
        <w:t>5.4. Reporting Obligations</w:t>
      </w:r>
    </w:p>
    <w:p w14:paraId="3CD6CBC2" w14:textId="56D3C695" w:rsidR="0F3A2008" w:rsidRDefault="0F3A2008" w:rsidP="00737C8E">
      <w:pPr>
        <w:pStyle w:val="ListParagraph"/>
        <w:numPr>
          <w:ilvl w:val="0"/>
          <w:numId w:val="1"/>
        </w:numPr>
        <w:spacing w:after="0" w:line="360" w:lineRule="auto"/>
        <w:rPr>
          <w:rFonts w:ascii="Arial" w:eastAsia="Times New Roman" w:hAnsi="Arial" w:cs="Arial"/>
          <w:sz w:val="22"/>
          <w:szCs w:val="22"/>
        </w:rPr>
      </w:pPr>
      <w:r w:rsidRPr="00FE26E8">
        <w:rPr>
          <w:rFonts w:ascii="Arial" w:eastAsia="Times New Roman" w:hAnsi="Arial" w:cs="Arial"/>
          <w:sz w:val="22"/>
          <w:szCs w:val="22"/>
        </w:rPr>
        <w:t>Train employees to recognize suspicious activity and report it promptly.</w:t>
      </w:r>
    </w:p>
    <w:p w14:paraId="6946CE08" w14:textId="77777777" w:rsidR="003532BE" w:rsidRPr="00FE26E8" w:rsidRDefault="003532BE" w:rsidP="003532BE">
      <w:pPr>
        <w:pStyle w:val="ListParagraph"/>
        <w:spacing w:after="0" w:line="360" w:lineRule="auto"/>
        <w:rPr>
          <w:rFonts w:ascii="Arial" w:eastAsia="Times New Roman" w:hAnsi="Arial" w:cs="Arial"/>
          <w:sz w:val="22"/>
          <w:szCs w:val="22"/>
        </w:rPr>
      </w:pPr>
    </w:p>
    <w:p w14:paraId="7555C4ED" w14:textId="247FA09B" w:rsidR="0F3A2008" w:rsidRPr="00FE26E8" w:rsidRDefault="0F3A2008" w:rsidP="00737C8E">
      <w:pPr>
        <w:pStyle w:val="ListParagraph"/>
        <w:numPr>
          <w:ilvl w:val="0"/>
          <w:numId w:val="1"/>
        </w:numPr>
        <w:spacing w:after="0" w:line="360" w:lineRule="auto"/>
        <w:rPr>
          <w:rFonts w:ascii="Arial" w:eastAsia="Times New Roman" w:hAnsi="Arial" w:cs="Arial"/>
          <w:sz w:val="22"/>
          <w:szCs w:val="22"/>
        </w:rPr>
      </w:pPr>
      <w:r w:rsidRPr="00FE26E8">
        <w:rPr>
          <w:rFonts w:ascii="Arial" w:eastAsia="Times New Roman" w:hAnsi="Arial" w:cs="Arial"/>
          <w:sz w:val="22"/>
          <w:szCs w:val="22"/>
        </w:rPr>
        <w:t xml:space="preserve">Ensure that SARs are filed with FinCEN within </w:t>
      </w:r>
      <w:r w:rsidRPr="00FE26E8">
        <w:rPr>
          <w:rFonts w:ascii="Arial" w:eastAsia="Times New Roman" w:hAnsi="Arial" w:cs="Arial"/>
          <w:b/>
          <w:bCs/>
          <w:sz w:val="22"/>
          <w:szCs w:val="22"/>
        </w:rPr>
        <w:t>[insert number of days, typically 30 days]</w:t>
      </w:r>
      <w:r w:rsidRPr="00FE26E8">
        <w:rPr>
          <w:rFonts w:ascii="Arial" w:eastAsia="Times New Roman" w:hAnsi="Arial" w:cs="Arial"/>
          <w:sz w:val="22"/>
          <w:szCs w:val="22"/>
        </w:rPr>
        <w:t xml:space="preserve"> of identifying suspicious activity.</w:t>
      </w:r>
    </w:p>
    <w:p w14:paraId="384BDBDE" w14:textId="71357311" w:rsidR="0F3A2008" w:rsidRPr="00FE26E8" w:rsidRDefault="0F3A2008" w:rsidP="00737C8E">
      <w:pPr>
        <w:pStyle w:val="ListParagraph"/>
        <w:numPr>
          <w:ilvl w:val="0"/>
          <w:numId w:val="1"/>
        </w:numPr>
        <w:spacing w:after="0" w:line="360" w:lineRule="auto"/>
        <w:rPr>
          <w:rFonts w:ascii="Arial" w:eastAsia="Times New Roman" w:hAnsi="Arial" w:cs="Arial"/>
          <w:sz w:val="22"/>
          <w:szCs w:val="22"/>
        </w:rPr>
      </w:pPr>
      <w:r w:rsidRPr="00FE26E8">
        <w:rPr>
          <w:rFonts w:ascii="Arial" w:eastAsia="Times New Roman" w:hAnsi="Arial" w:cs="Arial"/>
          <w:sz w:val="22"/>
          <w:szCs w:val="22"/>
        </w:rPr>
        <w:t>Maintain confidentiality regarding the reporting of SARs and prohibit retaliation against employees who report suspicious activities.</w:t>
      </w:r>
    </w:p>
    <w:p w14:paraId="7036CE4D" w14:textId="10D23D57" w:rsidR="0F3A2008" w:rsidRPr="00E870D9" w:rsidRDefault="0F3A2008" w:rsidP="0A2311ED">
      <w:pPr>
        <w:pStyle w:val="Heading5"/>
        <w:spacing w:before="333" w:after="333"/>
        <w:rPr>
          <w:rFonts w:ascii="Arial" w:eastAsia="Times New Roman" w:hAnsi="Arial" w:cs="Arial"/>
          <w:b/>
          <w:bCs/>
          <w:color w:val="auto"/>
        </w:rPr>
      </w:pPr>
      <w:r w:rsidRPr="00E870D9">
        <w:rPr>
          <w:rFonts w:ascii="Arial" w:eastAsia="Times New Roman" w:hAnsi="Arial" w:cs="Arial"/>
          <w:b/>
          <w:bCs/>
          <w:color w:val="auto"/>
        </w:rPr>
        <w:t>5.5. Employee Training</w:t>
      </w:r>
    </w:p>
    <w:p w14:paraId="6EFB3A34" w14:textId="52339D81" w:rsidR="0F3A2008" w:rsidRPr="00AD3526" w:rsidRDefault="0F3A2008" w:rsidP="00542057">
      <w:pPr>
        <w:pStyle w:val="ListParagraph"/>
        <w:numPr>
          <w:ilvl w:val="0"/>
          <w:numId w:val="1"/>
        </w:numPr>
        <w:spacing w:after="0" w:line="360" w:lineRule="auto"/>
        <w:rPr>
          <w:rFonts w:ascii="Arial" w:eastAsia="Times New Roman" w:hAnsi="Arial" w:cs="Arial"/>
          <w:sz w:val="22"/>
          <w:szCs w:val="22"/>
        </w:rPr>
      </w:pPr>
      <w:r w:rsidRPr="00AD3526">
        <w:rPr>
          <w:rFonts w:ascii="Arial" w:eastAsia="Times New Roman" w:hAnsi="Arial" w:cs="Arial"/>
          <w:sz w:val="22"/>
          <w:szCs w:val="22"/>
        </w:rPr>
        <w:t>Provide AML and KYC training to all employees upon hiring and at least annually thereafter.</w:t>
      </w:r>
    </w:p>
    <w:p w14:paraId="51F7B57B" w14:textId="21C6F64C" w:rsidR="0F3A2008" w:rsidRPr="00AD3526" w:rsidRDefault="0F3A2008" w:rsidP="00542057">
      <w:pPr>
        <w:pStyle w:val="ListParagraph"/>
        <w:numPr>
          <w:ilvl w:val="0"/>
          <w:numId w:val="1"/>
        </w:numPr>
        <w:spacing w:after="0" w:line="360" w:lineRule="auto"/>
        <w:rPr>
          <w:rFonts w:ascii="Arial" w:eastAsia="Times New Roman" w:hAnsi="Arial" w:cs="Arial"/>
          <w:sz w:val="22"/>
          <w:szCs w:val="22"/>
        </w:rPr>
      </w:pPr>
      <w:r w:rsidRPr="00AD3526">
        <w:rPr>
          <w:rFonts w:ascii="Arial" w:eastAsia="Times New Roman" w:hAnsi="Arial" w:cs="Arial"/>
          <w:sz w:val="22"/>
          <w:szCs w:val="22"/>
        </w:rPr>
        <w:t>Document attendance and completion of training programs.</w:t>
      </w:r>
    </w:p>
    <w:p w14:paraId="08EE8745" w14:textId="443FA231" w:rsidR="0F3A2008" w:rsidRPr="001A7E6D" w:rsidRDefault="0F3A2008" w:rsidP="0A2311ED">
      <w:pPr>
        <w:pStyle w:val="Heading5"/>
        <w:spacing w:before="333" w:after="333"/>
        <w:rPr>
          <w:rFonts w:ascii="Arial" w:eastAsia="Times New Roman" w:hAnsi="Arial" w:cs="Arial"/>
          <w:b/>
          <w:bCs/>
          <w:color w:val="auto"/>
        </w:rPr>
      </w:pPr>
      <w:r w:rsidRPr="001A7E6D">
        <w:rPr>
          <w:rFonts w:ascii="Arial" w:eastAsia="Times New Roman" w:hAnsi="Arial" w:cs="Arial"/>
          <w:b/>
          <w:bCs/>
          <w:color w:val="auto"/>
        </w:rPr>
        <w:t>5.6. Record Keeping</w:t>
      </w:r>
    </w:p>
    <w:p w14:paraId="5BAEB943" w14:textId="0CEAD55A" w:rsidR="0F3A2008" w:rsidRPr="00493277" w:rsidRDefault="0F3A2008" w:rsidP="00400000">
      <w:pPr>
        <w:pStyle w:val="ListParagraph"/>
        <w:numPr>
          <w:ilvl w:val="0"/>
          <w:numId w:val="1"/>
        </w:numPr>
        <w:spacing w:after="0" w:line="360" w:lineRule="auto"/>
        <w:rPr>
          <w:rFonts w:ascii="Arial" w:eastAsia="Times New Roman" w:hAnsi="Arial" w:cs="Arial"/>
          <w:sz w:val="22"/>
          <w:szCs w:val="22"/>
        </w:rPr>
      </w:pPr>
      <w:r w:rsidRPr="00493277">
        <w:rPr>
          <w:rFonts w:ascii="Arial" w:eastAsia="Times New Roman" w:hAnsi="Arial" w:cs="Arial"/>
          <w:sz w:val="22"/>
          <w:szCs w:val="22"/>
        </w:rPr>
        <w:t xml:space="preserve">Maintain records of all customer identification information for at least </w:t>
      </w:r>
      <w:r w:rsidRPr="00493277">
        <w:rPr>
          <w:rFonts w:ascii="Arial" w:eastAsia="Times New Roman" w:hAnsi="Arial" w:cs="Arial"/>
          <w:b/>
          <w:bCs/>
          <w:sz w:val="22"/>
          <w:szCs w:val="22"/>
        </w:rPr>
        <w:t>[insert duration, typically 5 years]</w:t>
      </w:r>
      <w:r w:rsidRPr="00493277">
        <w:rPr>
          <w:rFonts w:ascii="Arial" w:eastAsia="Times New Roman" w:hAnsi="Arial" w:cs="Arial"/>
          <w:sz w:val="22"/>
          <w:szCs w:val="22"/>
        </w:rPr>
        <w:t xml:space="preserve"> after the end of the customer relationship.</w:t>
      </w:r>
    </w:p>
    <w:p w14:paraId="5A136DED" w14:textId="4C6D52D1" w:rsidR="0F3A2008" w:rsidRPr="00493277" w:rsidRDefault="0F3A2008" w:rsidP="00400000">
      <w:pPr>
        <w:pStyle w:val="ListParagraph"/>
        <w:numPr>
          <w:ilvl w:val="0"/>
          <w:numId w:val="1"/>
        </w:numPr>
        <w:spacing w:after="0" w:line="360" w:lineRule="auto"/>
        <w:rPr>
          <w:rFonts w:ascii="Arial" w:eastAsia="Times New Roman" w:hAnsi="Arial" w:cs="Arial"/>
          <w:sz w:val="22"/>
          <w:szCs w:val="22"/>
        </w:rPr>
      </w:pPr>
      <w:r w:rsidRPr="00493277">
        <w:rPr>
          <w:rFonts w:ascii="Arial" w:eastAsia="Times New Roman" w:hAnsi="Arial" w:cs="Arial"/>
          <w:sz w:val="22"/>
          <w:szCs w:val="22"/>
        </w:rPr>
        <w:t xml:space="preserve">Retain records of all transactions for a minimum of </w:t>
      </w:r>
      <w:r w:rsidRPr="00493277">
        <w:rPr>
          <w:rFonts w:ascii="Arial" w:eastAsia="Times New Roman" w:hAnsi="Arial" w:cs="Arial"/>
          <w:b/>
          <w:bCs/>
          <w:sz w:val="22"/>
          <w:szCs w:val="22"/>
        </w:rPr>
        <w:t>[insert duration, typically 5 years]</w:t>
      </w:r>
      <w:r w:rsidRPr="00493277">
        <w:rPr>
          <w:rFonts w:ascii="Arial" w:eastAsia="Times New Roman" w:hAnsi="Arial" w:cs="Arial"/>
          <w:sz w:val="22"/>
          <w:szCs w:val="22"/>
        </w:rPr>
        <w:t>.</w:t>
      </w:r>
    </w:p>
    <w:p w14:paraId="714232CA" w14:textId="386B83EE" w:rsidR="0F3A2008" w:rsidRPr="00EE0E2C" w:rsidRDefault="0F3A2008" w:rsidP="0A2311ED">
      <w:pPr>
        <w:pStyle w:val="Heading4"/>
        <w:spacing w:before="319" w:after="319"/>
        <w:rPr>
          <w:rFonts w:ascii="Arial" w:eastAsia="Times New Roman" w:hAnsi="Arial" w:cs="Arial"/>
          <w:b/>
          <w:bCs/>
          <w:i w:val="0"/>
          <w:iCs w:val="0"/>
          <w:color w:val="auto"/>
          <w:sz w:val="28"/>
          <w:szCs w:val="28"/>
        </w:rPr>
      </w:pPr>
      <w:r w:rsidRPr="00EE0E2C">
        <w:rPr>
          <w:rFonts w:ascii="Arial" w:eastAsia="Times New Roman" w:hAnsi="Arial" w:cs="Arial"/>
          <w:b/>
          <w:bCs/>
          <w:i w:val="0"/>
          <w:iCs w:val="0"/>
          <w:color w:val="auto"/>
          <w:sz w:val="28"/>
          <w:szCs w:val="28"/>
        </w:rPr>
        <w:t>6. Roles and Responsibilities</w:t>
      </w:r>
    </w:p>
    <w:p w14:paraId="020B075D" w14:textId="50457444" w:rsidR="0F3A2008" w:rsidRPr="00290257" w:rsidRDefault="0F3A2008" w:rsidP="004A00BC">
      <w:pPr>
        <w:pStyle w:val="ListParagraph"/>
        <w:numPr>
          <w:ilvl w:val="0"/>
          <w:numId w:val="1"/>
        </w:numPr>
        <w:spacing w:after="0" w:line="360" w:lineRule="auto"/>
        <w:rPr>
          <w:rFonts w:ascii="Arial" w:eastAsia="Times New Roman" w:hAnsi="Arial" w:cs="Arial"/>
          <w:sz w:val="22"/>
          <w:szCs w:val="22"/>
        </w:rPr>
      </w:pPr>
      <w:r w:rsidRPr="00290257">
        <w:rPr>
          <w:rFonts w:ascii="Arial" w:eastAsia="Times New Roman" w:hAnsi="Arial" w:cs="Arial"/>
          <w:b/>
          <w:bCs/>
          <w:sz w:val="22"/>
          <w:szCs w:val="22"/>
        </w:rPr>
        <w:t>AML Compliance Officer:</w:t>
      </w:r>
      <w:r w:rsidRPr="00290257">
        <w:rPr>
          <w:rFonts w:ascii="Arial" w:eastAsia="Times New Roman" w:hAnsi="Arial" w:cs="Arial"/>
          <w:sz w:val="22"/>
          <w:szCs w:val="22"/>
        </w:rPr>
        <w:t xml:space="preserve"> </w:t>
      </w:r>
      <w:r w:rsidRPr="00290257">
        <w:rPr>
          <w:rFonts w:ascii="Arial" w:eastAsia="Times New Roman" w:hAnsi="Arial" w:cs="Arial"/>
          <w:b/>
          <w:bCs/>
          <w:sz w:val="22"/>
          <w:szCs w:val="22"/>
        </w:rPr>
        <w:t>[Insert Name and Title]</w:t>
      </w:r>
      <w:r w:rsidRPr="00290257">
        <w:rPr>
          <w:rFonts w:ascii="Arial" w:eastAsia="Times New Roman" w:hAnsi="Arial" w:cs="Arial"/>
          <w:sz w:val="22"/>
          <w:szCs w:val="22"/>
        </w:rPr>
        <w:t xml:space="preserve"> is responsible for implementing and enforcing the AML Policy, conducting risk assessments, overseeing training programs, and serving as the point of contact for regulatory agencies.</w:t>
      </w:r>
    </w:p>
    <w:p w14:paraId="74C9A6BB" w14:textId="2A7A99E0" w:rsidR="0F3A2008" w:rsidRPr="00290257" w:rsidRDefault="0F3A2008" w:rsidP="004A00BC">
      <w:pPr>
        <w:pStyle w:val="ListParagraph"/>
        <w:numPr>
          <w:ilvl w:val="0"/>
          <w:numId w:val="1"/>
        </w:numPr>
        <w:spacing w:after="0" w:line="360" w:lineRule="auto"/>
        <w:rPr>
          <w:rFonts w:ascii="Arial" w:eastAsia="Times New Roman" w:hAnsi="Arial" w:cs="Arial"/>
          <w:sz w:val="22"/>
          <w:szCs w:val="22"/>
        </w:rPr>
      </w:pPr>
      <w:r w:rsidRPr="00290257">
        <w:rPr>
          <w:rFonts w:ascii="Arial" w:eastAsia="Times New Roman" w:hAnsi="Arial" w:cs="Arial"/>
          <w:b/>
          <w:bCs/>
          <w:sz w:val="22"/>
          <w:szCs w:val="22"/>
        </w:rPr>
        <w:t>All Employees:</w:t>
      </w:r>
      <w:r w:rsidRPr="00290257">
        <w:rPr>
          <w:rFonts w:ascii="Arial" w:eastAsia="Times New Roman" w:hAnsi="Arial" w:cs="Arial"/>
          <w:sz w:val="22"/>
          <w:szCs w:val="22"/>
        </w:rPr>
        <w:t xml:space="preserve"> Required to understand and comply with the AML Policy, report suspicious activities, and participate in training programs.</w:t>
      </w:r>
    </w:p>
    <w:p w14:paraId="68284035" w14:textId="33C1CCB6" w:rsidR="0F3A2008" w:rsidRPr="00C50BE4" w:rsidRDefault="0F3A2008" w:rsidP="0A2311ED">
      <w:pPr>
        <w:pStyle w:val="Heading4"/>
        <w:spacing w:before="319" w:after="319"/>
        <w:rPr>
          <w:rFonts w:ascii="Arial" w:eastAsia="Times New Roman" w:hAnsi="Arial" w:cs="Arial"/>
          <w:b/>
          <w:bCs/>
          <w:i w:val="0"/>
          <w:iCs w:val="0"/>
          <w:color w:val="auto"/>
          <w:sz w:val="28"/>
          <w:szCs w:val="28"/>
        </w:rPr>
      </w:pPr>
      <w:r w:rsidRPr="00C50BE4">
        <w:rPr>
          <w:rFonts w:ascii="Arial" w:eastAsia="Times New Roman" w:hAnsi="Arial" w:cs="Arial"/>
          <w:b/>
          <w:bCs/>
          <w:i w:val="0"/>
          <w:iCs w:val="0"/>
          <w:color w:val="auto"/>
          <w:sz w:val="28"/>
          <w:szCs w:val="28"/>
        </w:rPr>
        <w:t>7. Internal Controls</w:t>
      </w:r>
    </w:p>
    <w:p w14:paraId="395634AA" w14:textId="5963A55A" w:rsidR="0F3A2008" w:rsidRPr="00277D58" w:rsidRDefault="0F3A2008" w:rsidP="00F362FA">
      <w:pPr>
        <w:spacing w:after="0" w:line="360" w:lineRule="auto"/>
        <w:rPr>
          <w:rFonts w:ascii="Arial" w:eastAsia="Times New Roman" w:hAnsi="Arial" w:cs="Arial"/>
          <w:sz w:val="22"/>
          <w:szCs w:val="22"/>
        </w:rPr>
      </w:pPr>
      <w:r w:rsidRPr="00277D58">
        <w:rPr>
          <w:rFonts w:ascii="Arial" w:eastAsia="Times New Roman" w:hAnsi="Arial" w:cs="Arial"/>
          <w:sz w:val="22"/>
          <w:szCs w:val="22"/>
        </w:rPr>
        <w:t>Establish internal controls to mitigate risks associated with money laundering, including:</w:t>
      </w:r>
    </w:p>
    <w:p w14:paraId="2AFF1A5C" w14:textId="068C114B" w:rsidR="0F3A2008" w:rsidRPr="00277D58" w:rsidRDefault="0F3A2008" w:rsidP="00F362FA">
      <w:pPr>
        <w:pStyle w:val="ListParagraph"/>
        <w:numPr>
          <w:ilvl w:val="0"/>
          <w:numId w:val="1"/>
        </w:numPr>
        <w:spacing w:after="0" w:line="360" w:lineRule="auto"/>
        <w:rPr>
          <w:rFonts w:ascii="Arial" w:eastAsia="Times New Roman" w:hAnsi="Arial" w:cs="Arial"/>
          <w:sz w:val="22"/>
          <w:szCs w:val="22"/>
        </w:rPr>
      </w:pPr>
      <w:r w:rsidRPr="00277D58">
        <w:rPr>
          <w:rFonts w:ascii="Arial" w:eastAsia="Times New Roman" w:hAnsi="Arial" w:cs="Arial"/>
          <w:sz w:val="22"/>
          <w:szCs w:val="22"/>
        </w:rPr>
        <w:t>Segregation of duties</w:t>
      </w:r>
    </w:p>
    <w:p w14:paraId="4A32E45E" w14:textId="193AD637" w:rsidR="0F3A2008" w:rsidRPr="00277D58" w:rsidRDefault="0F3A2008" w:rsidP="00F362FA">
      <w:pPr>
        <w:pStyle w:val="ListParagraph"/>
        <w:numPr>
          <w:ilvl w:val="0"/>
          <w:numId w:val="1"/>
        </w:numPr>
        <w:spacing w:after="0" w:line="360" w:lineRule="auto"/>
        <w:rPr>
          <w:rFonts w:ascii="Arial" w:eastAsia="Times New Roman" w:hAnsi="Arial" w:cs="Arial"/>
          <w:sz w:val="22"/>
          <w:szCs w:val="22"/>
        </w:rPr>
      </w:pPr>
      <w:r w:rsidRPr="00277D58">
        <w:rPr>
          <w:rFonts w:ascii="Arial" w:eastAsia="Times New Roman" w:hAnsi="Arial" w:cs="Arial"/>
          <w:sz w:val="22"/>
          <w:szCs w:val="22"/>
        </w:rPr>
        <w:t>Regular audits of the AML program</w:t>
      </w:r>
    </w:p>
    <w:p w14:paraId="4A3965EC" w14:textId="41E0ADE0" w:rsidR="0F3A2008" w:rsidRDefault="0F3A2008" w:rsidP="00F362FA">
      <w:pPr>
        <w:pStyle w:val="ListParagraph"/>
        <w:numPr>
          <w:ilvl w:val="0"/>
          <w:numId w:val="1"/>
        </w:numPr>
        <w:spacing w:after="0" w:line="360" w:lineRule="auto"/>
        <w:rPr>
          <w:rFonts w:ascii="Arial" w:eastAsia="Times New Roman" w:hAnsi="Arial" w:cs="Arial"/>
          <w:sz w:val="22"/>
          <w:szCs w:val="22"/>
        </w:rPr>
      </w:pPr>
      <w:r w:rsidRPr="00277D58">
        <w:rPr>
          <w:rFonts w:ascii="Arial" w:eastAsia="Times New Roman" w:hAnsi="Arial" w:cs="Arial"/>
          <w:sz w:val="22"/>
          <w:szCs w:val="22"/>
        </w:rPr>
        <w:t>Compliance checks to ensure adherence to KYC procedures</w:t>
      </w:r>
    </w:p>
    <w:p w14:paraId="27A80334" w14:textId="77777777" w:rsidR="003532BE" w:rsidRDefault="003532BE" w:rsidP="003532BE">
      <w:pPr>
        <w:pStyle w:val="ListParagraph"/>
        <w:spacing w:after="0" w:line="360" w:lineRule="auto"/>
        <w:rPr>
          <w:rFonts w:ascii="Arial" w:eastAsia="Times New Roman" w:hAnsi="Arial" w:cs="Arial"/>
          <w:sz w:val="22"/>
          <w:szCs w:val="22"/>
        </w:rPr>
      </w:pPr>
    </w:p>
    <w:p w14:paraId="689B2F36" w14:textId="77777777" w:rsidR="003532BE" w:rsidRDefault="003532BE" w:rsidP="003532BE">
      <w:pPr>
        <w:pStyle w:val="ListParagraph"/>
        <w:spacing w:after="0" w:line="360" w:lineRule="auto"/>
        <w:rPr>
          <w:rFonts w:ascii="Arial" w:eastAsia="Times New Roman" w:hAnsi="Arial" w:cs="Arial"/>
          <w:sz w:val="22"/>
          <w:szCs w:val="22"/>
        </w:rPr>
      </w:pPr>
    </w:p>
    <w:p w14:paraId="10CCE3CB" w14:textId="77777777" w:rsidR="003532BE" w:rsidRDefault="003532BE" w:rsidP="003532BE">
      <w:pPr>
        <w:spacing w:after="0" w:line="360" w:lineRule="auto"/>
        <w:rPr>
          <w:rFonts w:ascii="Arial" w:eastAsia="Times New Roman" w:hAnsi="Arial" w:cs="Arial"/>
          <w:sz w:val="22"/>
          <w:szCs w:val="22"/>
        </w:rPr>
      </w:pPr>
    </w:p>
    <w:p w14:paraId="7AF9D057" w14:textId="77777777" w:rsidR="003532BE" w:rsidRPr="003532BE" w:rsidRDefault="003532BE" w:rsidP="003532BE">
      <w:pPr>
        <w:spacing w:after="0" w:line="360" w:lineRule="auto"/>
        <w:rPr>
          <w:rFonts w:ascii="Arial" w:eastAsia="Times New Roman" w:hAnsi="Arial" w:cs="Arial"/>
          <w:sz w:val="22"/>
          <w:szCs w:val="22"/>
        </w:rPr>
      </w:pPr>
    </w:p>
    <w:p w14:paraId="025233ED" w14:textId="3C42DACD" w:rsidR="0F3A2008" w:rsidRPr="00584B43" w:rsidRDefault="0F3A2008" w:rsidP="0A2311ED">
      <w:pPr>
        <w:pStyle w:val="Heading4"/>
        <w:spacing w:before="319" w:after="319"/>
        <w:rPr>
          <w:rFonts w:ascii="Arial" w:eastAsia="Times New Roman" w:hAnsi="Arial" w:cs="Arial"/>
          <w:b/>
          <w:bCs/>
          <w:i w:val="0"/>
          <w:iCs w:val="0"/>
          <w:color w:val="auto"/>
          <w:sz w:val="28"/>
          <w:szCs w:val="28"/>
        </w:rPr>
      </w:pPr>
      <w:r w:rsidRPr="00584B43">
        <w:rPr>
          <w:rFonts w:ascii="Arial" w:eastAsia="Times New Roman" w:hAnsi="Arial" w:cs="Arial"/>
          <w:b/>
          <w:bCs/>
          <w:i w:val="0"/>
          <w:iCs w:val="0"/>
          <w:color w:val="auto"/>
          <w:sz w:val="28"/>
          <w:szCs w:val="28"/>
        </w:rPr>
        <w:t>8. Enforcement and Disciplinary Action</w:t>
      </w:r>
    </w:p>
    <w:p w14:paraId="240CFEBE" w14:textId="3AE2999A" w:rsidR="0F3A2008" w:rsidRPr="00B936ED" w:rsidRDefault="0F3A2008" w:rsidP="00B84964">
      <w:pPr>
        <w:spacing w:before="240" w:after="240" w:line="360" w:lineRule="auto"/>
        <w:rPr>
          <w:rFonts w:ascii="Arial" w:eastAsia="Times New Roman" w:hAnsi="Arial" w:cs="Arial"/>
          <w:sz w:val="22"/>
          <w:szCs w:val="22"/>
        </w:rPr>
      </w:pPr>
      <w:r w:rsidRPr="00B936ED">
        <w:rPr>
          <w:rFonts w:ascii="Arial" w:eastAsia="Times New Roman" w:hAnsi="Arial" w:cs="Arial"/>
          <w:sz w:val="22"/>
          <w:szCs w:val="22"/>
        </w:rPr>
        <w:t>Violations of this AML Policy may result in disciplinary action, including termination of employment and legal action. All employees are expected to report suspected violations to the AML Compliance Officer.</w:t>
      </w:r>
    </w:p>
    <w:p w14:paraId="08BBEBD8" w14:textId="56077EEC" w:rsidR="0F3A2008" w:rsidRPr="00EC2F89" w:rsidRDefault="0F3A2008" w:rsidP="0A2311ED">
      <w:pPr>
        <w:pStyle w:val="Heading4"/>
        <w:spacing w:before="319" w:after="319"/>
        <w:rPr>
          <w:rFonts w:ascii="Arial" w:eastAsia="Times New Roman" w:hAnsi="Arial" w:cs="Arial"/>
          <w:b/>
          <w:bCs/>
          <w:i w:val="0"/>
          <w:iCs w:val="0"/>
          <w:color w:val="auto"/>
          <w:sz w:val="28"/>
          <w:szCs w:val="28"/>
        </w:rPr>
      </w:pPr>
      <w:r w:rsidRPr="00EC2F89">
        <w:rPr>
          <w:rFonts w:ascii="Arial" w:eastAsia="Times New Roman" w:hAnsi="Arial" w:cs="Arial"/>
          <w:b/>
          <w:bCs/>
          <w:i w:val="0"/>
          <w:iCs w:val="0"/>
          <w:color w:val="auto"/>
          <w:sz w:val="28"/>
          <w:szCs w:val="28"/>
        </w:rPr>
        <w:t>9. Policy Review and Updates</w:t>
      </w:r>
    </w:p>
    <w:p w14:paraId="3A32C7C5" w14:textId="580F16A1" w:rsidR="0F3A2008" w:rsidRPr="003F7096" w:rsidRDefault="0F3A2008" w:rsidP="00E72198">
      <w:pPr>
        <w:spacing w:before="240" w:after="240" w:line="360" w:lineRule="auto"/>
        <w:rPr>
          <w:rFonts w:ascii="Arial" w:eastAsia="Times New Roman" w:hAnsi="Arial" w:cs="Arial"/>
          <w:sz w:val="22"/>
          <w:szCs w:val="22"/>
        </w:rPr>
      </w:pPr>
      <w:r w:rsidRPr="003F7096">
        <w:rPr>
          <w:rFonts w:ascii="Arial" w:eastAsia="Times New Roman" w:hAnsi="Arial" w:cs="Arial"/>
          <w:sz w:val="22"/>
          <w:szCs w:val="22"/>
        </w:rPr>
        <w:t>This policy will be reviewed annually and updated as necessary to reflect changes in laws, regulations, and operational procedures.</w:t>
      </w:r>
    </w:p>
    <w:sectPr w:rsidR="0F3A2008" w:rsidRPr="003F7096">
      <w:headerReference w:type="default" r:id="rId7"/>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61B46" w14:textId="77777777" w:rsidR="000011B8" w:rsidRDefault="000011B8" w:rsidP="000011B8">
      <w:pPr>
        <w:spacing w:after="0" w:line="240" w:lineRule="auto"/>
      </w:pPr>
      <w:r>
        <w:separator/>
      </w:r>
    </w:p>
  </w:endnote>
  <w:endnote w:type="continuationSeparator" w:id="0">
    <w:p w14:paraId="247D3F60" w14:textId="77777777" w:rsidR="000011B8" w:rsidRDefault="000011B8" w:rsidP="0000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1164" w14:textId="7A3EA108" w:rsidR="003532BE" w:rsidRPr="003532BE" w:rsidRDefault="003532BE" w:rsidP="003532BE">
    <w:pPr>
      <w:pStyle w:val="Header"/>
      <w:ind w:left="-115"/>
      <w:rPr>
        <w:color w:val="D1D2D3"/>
        <w:sz w:val="18"/>
        <w:szCs w:val="18"/>
      </w:rPr>
    </w:pPr>
    <w:r w:rsidRPr="003532BE">
      <w:rPr>
        <w:color w:val="D1D2D3"/>
        <w:sz w:val="18"/>
        <w:szCs w:val="18"/>
        <w:lang w:val="en-GB"/>
      </w:rPr>
      <w:t>© Copyright 202</w:t>
    </w:r>
    <w:r w:rsidRPr="003532BE">
      <w:rPr>
        <w:color w:val="D1D2D3"/>
        <w:sz w:val="18"/>
        <w:szCs w:val="18"/>
      </w:rPr>
      <w:t>4</w:t>
    </w:r>
    <w:r w:rsidRPr="003532BE">
      <w:rPr>
        <w:color w:val="D1D2D3"/>
        <w:sz w:val="18"/>
        <w:szCs w:val="18"/>
        <w:lang w:val="en-GB"/>
      </w:rPr>
      <w:t xml:space="preserve"> </w:t>
    </w:r>
    <w:proofErr w:type="spellStart"/>
    <w:r w:rsidRPr="003532BE">
      <w:rPr>
        <w:color w:val="D1D2D3"/>
        <w:sz w:val="18"/>
        <w:szCs w:val="18"/>
        <w:lang w:val="en-GB"/>
      </w:rPr>
      <w:t>VComply</w:t>
    </w:r>
    <w:proofErr w:type="spellEnd"/>
    <w:r w:rsidRPr="003532BE">
      <w:rPr>
        <w:color w:val="D1D2D3"/>
        <w:sz w:val="18"/>
        <w:szCs w:val="18"/>
        <w:lang w:val="en-GB"/>
      </w:rPr>
      <w:t xml:space="preserve"> Technologies,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B3EAE" w14:textId="77777777" w:rsidR="000011B8" w:rsidRDefault="000011B8" w:rsidP="000011B8">
      <w:pPr>
        <w:spacing w:after="0" w:line="240" w:lineRule="auto"/>
      </w:pPr>
      <w:r>
        <w:separator/>
      </w:r>
    </w:p>
  </w:footnote>
  <w:footnote w:type="continuationSeparator" w:id="0">
    <w:p w14:paraId="2D49314E" w14:textId="77777777" w:rsidR="000011B8" w:rsidRDefault="000011B8" w:rsidP="00001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6E727" w14:textId="7FB64853" w:rsidR="000011B8" w:rsidRDefault="000011B8">
    <w:pPr>
      <w:pStyle w:val="Header"/>
    </w:pPr>
    <w:r>
      <w:rPr>
        <w:noProof/>
      </w:rPr>
      <w:drawing>
        <wp:inline distT="0" distB="0" distL="114300" distR="114300" wp14:anchorId="0F01A4B9" wp14:editId="3D4FF111">
          <wp:extent cx="1228725" cy="400050"/>
          <wp:effectExtent l="0" t="0" r="0" b="0"/>
          <wp:docPr id="133064910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49108" name="Picture 1"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6D312"/>
    <w:multiLevelType w:val="hybridMultilevel"/>
    <w:tmpl w:val="FFFFFFFF"/>
    <w:lvl w:ilvl="0" w:tplc="B3F441CE">
      <w:start w:val="1"/>
      <w:numFmt w:val="bullet"/>
      <w:lvlText w:val=""/>
      <w:lvlJc w:val="left"/>
      <w:pPr>
        <w:ind w:left="720" w:hanging="360"/>
      </w:pPr>
      <w:rPr>
        <w:rFonts w:ascii="Symbol" w:hAnsi="Symbol" w:hint="default"/>
      </w:rPr>
    </w:lvl>
    <w:lvl w:ilvl="1" w:tplc="F2786A4E">
      <w:start w:val="1"/>
      <w:numFmt w:val="bullet"/>
      <w:lvlText w:val="o"/>
      <w:lvlJc w:val="left"/>
      <w:pPr>
        <w:ind w:left="1440" w:hanging="360"/>
      </w:pPr>
      <w:rPr>
        <w:rFonts w:ascii="Courier New" w:hAnsi="Courier New" w:hint="default"/>
      </w:rPr>
    </w:lvl>
    <w:lvl w:ilvl="2" w:tplc="B5028AD8">
      <w:start w:val="1"/>
      <w:numFmt w:val="bullet"/>
      <w:lvlText w:val=""/>
      <w:lvlJc w:val="left"/>
      <w:pPr>
        <w:ind w:left="2160" w:hanging="360"/>
      </w:pPr>
      <w:rPr>
        <w:rFonts w:ascii="Wingdings" w:hAnsi="Wingdings" w:hint="default"/>
      </w:rPr>
    </w:lvl>
    <w:lvl w:ilvl="3" w:tplc="05FCFCD0">
      <w:start w:val="1"/>
      <w:numFmt w:val="bullet"/>
      <w:lvlText w:val=""/>
      <w:lvlJc w:val="left"/>
      <w:pPr>
        <w:ind w:left="2880" w:hanging="360"/>
      </w:pPr>
      <w:rPr>
        <w:rFonts w:ascii="Symbol" w:hAnsi="Symbol" w:hint="default"/>
      </w:rPr>
    </w:lvl>
    <w:lvl w:ilvl="4" w:tplc="39C25694">
      <w:start w:val="1"/>
      <w:numFmt w:val="bullet"/>
      <w:lvlText w:val="o"/>
      <w:lvlJc w:val="left"/>
      <w:pPr>
        <w:ind w:left="3600" w:hanging="360"/>
      </w:pPr>
      <w:rPr>
        <w:rFonts w:ascii="Courier New" w:hAnsi="Courier New" w:hint="default"/>
      </w:rPr>
    </w:lvl>
    <w:lvl w:ilvl="5" w:tplc="C8B2FA0C">
      <w:start w:val="1"/>
      <w:numFmt w:val="bullet"/>
      <w:lvlText w:val=""/>
      <w:lvlJc w:val="left"/>
      <w:pPr>
        <w:ind w:left="4320" w:hanging="360"/>
      </w:pPr>
      <w:rPr>
        <w:rFonts w:ascii="Wingdings" w:hAnsi="Wingdings" w:hint="default"/>
      </w:rPr>
    </w:lvl>
    <w:lvl w:ilvl="6" w:tplc="5D9C8252">
      <w:start w:val="1"/>
      <w:numFmt w:val="bullet"/>
      <w:lvlText w:val=""/>
      <w:lvlJc w:val="left"/>
      <w:pPr>
        <w:ind w:left="5040" w:hanging="360"/>
      </w:pPr>
      <w:rPr>
        <w:rFonts w:ascii="Symbol" w:hAnsi="Symbol" w:hint="default"/>
      </w:rPr>
    </w:lvl>
    <w:lvl w:ilvl="7" w:tplc="E8F244A8">
      <w:start w:val="1"/>
      <w:numFmt w:val="bullet"/>
      <w:lvlText w:val="o"/>
      <w:lvlJc w:val="left"/>
      <w:pPr>
        <w:ind w:left="5760" w:hanging="360"/>
      </w:pPr>
      <w:rPr>
        <w:rFonts w:ascii="Courier New" w:hAnsi="Courier New" w:hint="default"/>
      </w:rPr>
    </w:lvl>
    <w:lvl w:ilvl="8" w:tplc="6DC2208A">
      <w:start w:val="1"/>
      <w:numFmt w:val="bullet"/>
      <w:lvlText w:val=""/>
      <w:lvlJc w:val="left"/>
      <w:pPr>
        <w:ind w:left="6480" w:hanging="360"/>
      </w:pPr>
      <w:rPr>
        <w:rFonts w:ascii="Wingdings" w:hAnsi="Wingdings" w:hint="default"/>
      </w:rPr>
    </w:lvl>
  </w:abstractNum>
  <w:num w:numId="1" w16cid:durableId="87885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F8F202"/>
    <w:rsid w:val="000011B8"/>
    <w:rsid w:val="00096FFD"/>
    <w:rsid w:val="000C58A3"/>
    <w:rsid w:val="00123CA2"/>
    <w:rsid w:val="00131F32"/>
    <w:rsid w:val="001631D3"/>
    <w:rsid w:val="00184B04"/>
    <w:rsid w:val="001A7E6D"/>
    <w:rsid w:val="001B1B61"/>
    <w:rsid w:val="001F08FA"/>
    <w:rsid w:val="0020158A"/>
    <w:rsid w:val="00212A78"/>
    <w:rsid w:val="00234E5E"/>
    <w:rsid w:val="00277D58"/>
    <w:rsid w:val="00290257"/>
    <w:rsid w:val="002A5C9C"/>
    <w:rsid w:val="002F58E2"/>
    <w:rsid w:val="00300116"/>
    <w:rsid w:val="003017E6"/>
    <w:rsid w:val="003532BE"/>
    <w:rsid w:val="003B7B6C"/>
    <w:rsid w:val="003C28EF"/>
    <w:rsid w:val="003E318D"/>
    <w:rsid w:val="003F7096"/>
    <w:rsid w:val="00400000"/>
    <w:rsid w:val="00420EBF"/>
    <w:rsid w:val="00430F88"/>
    <w:rsid w:val="00430FFB"/>
    <w:rsid w:val="0048449A"/>
    <w:rsid w:val="00492A36"/>
    <w:rsid w:val="00493277"/>
    <w:rsid w:val="004A00BC"/>
    <w:rsid w:val="004C33C3"/>
    <w:rsid w:val="004D728D"/>
    <w:rsid w:val="00536609"/>
    <w:rsid w:val="00542057"/>
    <w:rsid w:val="00584B43"/>
    <w:rsid w:val="005C4BEB"/>
    <w:rsid w:val="005E0259"/>
    <w:rsid w:val="00622659"/>
    <w:rsid w:val="006468A8"/>
    <w:rsid w:val="006A1B8F"/>
    <w:rsid w:val="00721F98"/>
    <w:rsid w:val="00737C8E"/>
    <w:rsid w:val="00750BE6"/>
    <w:rsid w:val="00761BE3"/>
    <w:rsid w:val="007779A6"/>
    <w:rsid w:val="00785C2F"/>
    <w:rsid w:val="00794434"/>
    <w:rsid w:val="007A3B50"/>
    <w:rsid w:val="007E1258"/>
    <w:rsid w:val="00824079"/>
    <w:rsid w:val="00830F50"/>
    <w:rsid w:val="009135B8"/>
    <w:rsid w:val="009701AB"/>
    <w:rsid w:val="0097323C"/>
    <w:rsid w:val="009805E4"/>
    <w:rsid w:val="00994E2B"/>
    <w:rsid w:val="00A01395"/>
    <w:rsid w:val="00A26675"/>
    <w:rsid w:val="00A37278"/>
    <w:rsid w:val="00A53F1B"/>
    <w:rsid w:val="00A75A1A"/>
    <w:rsid w:val="00A94280"/>
    <w:rsid w:val="00AD3526"/>
    <w:rsid w:val="00AE281D"/>
    <w:rsid w:val="00B26DA4"/>
    <w:rsid w:val="00B57990"/>
    <w:rsid w:val="00B744BD"/>
    <w:rsid w:val="00B84964"/>
    <w:rsid w:val="00B936ED"/>
    <w:rsid w:val="00BD7235"/>
    <w:rsid w:val="00BF2721"/>
    <w:rsid w:val="00BF5CBF"/>
    <w:rsid w:val="00BF5E42"/>
    <w:rsid w:val="00C25BD1"/>
    <w:rsid w:val="00C35A47"/>
    <w:rsid w:val="00C50BE4"/>
    <w:rsid w:val="00C54D90"/>
    <w:rsid w:val="00C70843"/>
    <w:rsid w:val="00CA0CA0"/>
    <w:rsid w:val="00CE1631"/>
    <w:rsid w:val="00D26B6E"/>
    <w:rsid w:val="00D5766B"/>
    <w:rsid w:val="00DB204B"/>
    <w:rsid w:val="00DF05B9"/>
    <w:rsid w:val="00DF5112"/>
    <w:rsid w:val="00E2659F"/>
    <w:rsid w:val="00E63456"/>
    <w:rsid w:val="00E72198"/>
    <w:rsid w:val="00E870D9"/>
    <w:rsid w:val="00EC1E2D"/>
    <w:rsid w:val="00EC2F89"/>
    <w:rsid w:val="00EE0E2C"/>
    <w:rsid w:val="00EE23EC"/>
    <w:rsid w:val="00EF556A"/>
    <w:rsid w:val="00F362FA"/>
    <w:rsid w:val="00F606C9"/>
    <w:rsid w:val="00F66B70"/>
    <w:rsid w:val="00FE26E8"/>
    <w:rsid w:val="0A2311ED"/>
    <w:rsid w:val="0F3A2008"/>
    <w:rsid w:val="1605FD07"/>
    <w:rsid w:val="17590CDC"/>
    <w:rsid w:val="1B765BB9"/>
    <w:rsid w:val="1ED8DA2A"/>
    <w:rsid w:val="2D48DE20"/>
    <w:rsid w:val="350E6900"/>
    <w:rsid w:val="51F8F202"/>
    <w:rsid w:val="6822F4AD"/>
    <w:rsid w:val="7CFF10A7"/>
    <w:rsid w:val="7D86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F202"/>
  <w15:chartTrackingRefBased/>
  <w15:docId w15:val="{B8213CA5-7AFE-4832-AF69-829A37AB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qFormat/>
    <w:rsid w:val="000011B8"/>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011B8"/>
  </w:style>
  <w:style w:type="paragraph" w:styleId="Footer">
    <w:name w:val="footer"/>
    <w:basedOn w:val="Normal"/>
    <w:link w:val="FooterChar"/>
    <w:uiPriority w:val="99"/>
    <w:unhideWhenUsed/>
    <w:rsid w:val="00001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Gupta</dc:creator>
  <cp:keywords/>
  <dc:description/>
  <cp:lastModifiedBy>VComply-Supreeth</cp:lastModifiedBy>
  <cp:revision>2</cp:revision>
  <dcterms:created xsi:type="dcterms:W3CDTF">2024-12-12T17:30:00Z</dcterms:created>
  <dcterms:modified xsi:type="dcterms:W3CDTF">2024-12-12T17:30:00Z</dcterms:modified>
</cp:coreProperties>
</file>